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CellMar>
          <w:left w:w="0" w:type="dxa"/>
          <w:right w:w="0" w:type="dxa"/>
        </w:tblCellMar>
        <w:tblLook w:val="04A0"/>
      </w:tblPr>
      <w:tblGrid>
        <w:gridCol w:w="9477"/>
        <w:gridCol w:w="6"/>
        <w:gridCol w:w="6"/>
        <w:gridCol w:w="6"/>
      </w:tblGrid>
      <w:tr w:rsidR="0097753A" w:rsidRPr="0097753A" w:rsidTr="00693F0A">
        <w:trPr>
          <w:trHeight w:val="1417"/>
        </w:trPr>
        <w:tc>
          <w:tcPr>
            <w:tcW w:w="499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31E35" w:rsidRDefault="00A11D87" w:rsidP="00531E35">
            <w:pPr>
              <w:spacing w:line="36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uk-UA"/>
              </w:rPr>
            </w:pPr>
            <w:r w:rsidRPr="00531E35">
              <w:rPr>
                <w:rFonts w:cs="Times New Roman"/>
                <w:bCs/>
                <w:sz w:val="28"/>
                <w:szCs w:val="28"/>
              </w:rPr>
              <w:fldChar w:fldCharType="begin"/>
            </w:r>
            <w:r w:rsidR="0097753A" w:rsidRPr="00531E35">
              <w:rPr>
                <w:rFonts w:cs="Times New Roman"/>
                <w:bCs/>
                <w:sz w:val="28"/>
                <w:szCs w:val="28"/>
              </w:rPr>
              <w:instrText xml:space="preserve"> HYPERLINK "http://savranrada.odessa.ua/index.php/2011-03-28-08-34-07/72----------l-----------2011-r" </w:instrText>
            </w:r>
            <w:r w:rsidRPr="00531E35">
              <w:rPr>
                <w:rFonts w:cs="Times New Roman"/>
                <w:bCs/>
                <w:sz w:val="28"/>
                <w:szCs w:val="28"/>
              </w:rPr>
              <w:fldChar w:fldCharType="separate"/>
            </w:r>
            <w:proofErr w:type="spellStart"/>
            <w:r w:rsidR="0097753A" w:rsidRPr="00531E35">
              <w:rPr>
                <w:rFonts w:cs="Times New Roman"/>
                <w:b/>
                <w:bCs/>
                <w:sz w:val="28"/>
                <w:szCs w:val="28"/>
              </w:rPr>
              <w:t>Аналіз</w:t>
            </w:r>
            <w:bookmarkStart w:id="0" w:name="_Hlt70683407"/>
            <w:bookmarkEnd w:id="0"/>
            <w:proofErr w:type="spellEnd"/>
          </w:p>
          <w:p w:rsidR="00531E35" w:rsidRPr="00531E35" w:rsidRDefault="0097753A" w:rsidP="00531E35">
            <w:pPr>
              <w:spacing w:line="36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uk-UA"/>
              </w:rPr>
            </w:pPr>
            <w:r w:rsidRPr="00531E35">
              <w:rPr>
                <w:rFonts w:cs="Times New Roman"/>
                <w:b/>
                <w:bCs/>
                <w:sz w:val="28"/>
                <w:szCs w:val="28"/>
              </w:rPr>
              <w:t xml:space="preserve">регуляторного </w:t>
            </w:r>
            <w:proofErr w:type="spellStart"/>
            <w:r w:rsidRPr="00531E35">
              <w:rPr>
                <w:rFonts w:cs="Times New Roman"/>
                <w:b/>
                <w:bCs/>
                <w:sz w:val="28"/>
                <w:szCs w:val="28"/>
              </w:rPr>
              <w:t>впливу</w:t>
            </w:r>
            <w:proofErr w:type="spellEnd"/>
            <w:r w:rsidRPr="00531E35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r w:rsidR="007173BC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проекту </w:t>
            </w:r>
            <w:proofErr w:type="spellStart"/>
            <w:proofErr w:type="gramStart"/>
            <w:r w:rsidRPr="00531E35">
              <w:rPr>
                <w:rFonts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531E35">
              <w:rPr>
                <w:rFonts w:cs="Times New Roman"/>
                <w:b/>
                <w:bCs/>
                <w:sz w:val="28"/>
                <w:szCs w:val="28"/>
              </w:rPr>
              <w:t>ішення</w:t>
            </w:r>
            <w:proofErr w:type="spellEnd"/>
            <w:r w:rsidRPr="00531E3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bookmarkStart w:id="1" w:name="_Hlt70683325"/>
            <w:bookmarkStart w:id="2" w:name="_Hlt70683326"/>
            <w:bookmarkEnd w:id="1"/>
            <w:bookmarkEnd w:id="2"/>
          </w:p>
          <w:p w:rsidR="007C302E" w:rsidRDefault="0097753A" w:rsidP="00531E35">
            <w:pPr>
              <w:spacing w:line="36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uk-UA"/>
              </w:rPr>
            </w:pPr>
            <w:r w:rsidRPr="00531E35">
              <w:rPr>
                <w:rFonts w:cs="Times New Roman"/>
                <w:b/>
                <w:bCs/>
                <w:sz w:val="28"/>
                <w:szCs w:val="28"/>
              </w:rPr>
              <w:t xml:space="preserve">«Про </w:t>
            </w:r>
            <w:proofErr w:type="spellStart"/>
            <w:r w:rsidRPr="00531E35">
              <w:rPr>
                <w:rFonts w:cs="Times New Roman"/>
                <w:b/>
                <w:bCs/>
                <w:sz w:val="28"/>
                <w:szCs w:val="28"/>
              </w:rPr>
              <w:t>затвердження</w:t>
            </w:r>
            <w:proofErr w:type="spellEnd"/>
            <w:r w:rsidRPr="00531E3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0E3392" w:rsidRPr="00531E35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скоригованих </w:t>
            </w:r>
            <w:r w:rsidRPr="00531E35">
              <w:rPr>
                <w:rFonts w:cs="Times New Roman"/>
                <w:b/>
                <w:bCs/>
                <w:sz w:val="28"/>
                <w:szCs w:val="28"/>
              </w:rPr>
              <w:t>тариф</w:t>
            </w:r>
            <w:proofErr w:type="spellStart"/>
            <w:r w:rsidR="000E3392" w:rsidRPr="00531E35">
              <w:rPr>
                <w:rFonts w:cs="Times New Roman"/>
                <w:b/>
                <w:bCs/>
                <w:sz w:val="28"/>
                <w:szCs w:val="28"/>
                <w:lang w:val="uk-UA"/>
              </w:rPr>
              <w:t>і</w:t>
            </w:r>
            <w:proofErr w:type="gramStart"/>
            <w:r w:rsidR="000E3392" w:rsidRPr="00531E35">
              <w:rPr>
                <w:rFonts w:cs="Times New Roman"/>
                <w:b/>
                <w:bCs/>
                <w:sz w:val="28"/>
                <w:szCs w:val="28"/>
                <w:lang w:val="uk-UA"/>
              </w:rPr>
              <w:t>в</w:t>
            </w:r>
            <w:proofErr w:type="spellEnd"/>
            <w:proofErr w:type="gramEnd"/>
            <w:r w:rsidRPr="00531E35">
              <w:rPr>
                <w:rFonts w:cs="Times New Roman"/>
                <w:b/>
                <w:bCs/>
                <w:sz w:val="28"/>
                <w:szCs w:val="28"/>
              </w:rPr>
              <w:t xml:space="preserve"> на </w:t>
            </w:r>
            <w:proofErr w:type="spellStart"/>
            <w:r w:rsidRPr="00531E35">
              <w:rPr>
                <w:rFonts w:cs="Times New Roman"/>
                <w:b/>
                <w:bCs/>
                <w:sz w:val="28"/>
                <w:szCs w:val="28"/>
              </w:rPr>
              <w:t>послуги</w:t>
            </w:r>
            <w:proofErr w:type="spellEnd"/>
            <w:r w:rsidRPr="00531E35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31E35">
              <w:rPr>
                <w:rFonts w:cs="Times New Roman"/>
                <w:b/>
                <w:bCs/>
                <w:sz w:val="28"/>
                <w:szCs w:val="28"/>
              </w:rPr>
              <w:t>водопостачання</w:t>
            </w:r>
            <w:proofErr w:type="spellEnd"/>
            <w:r w:rsidR="00531E35" w:rsidRPr="00531E35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C302E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C302E" w:rsidRDefault="007C302E" w:rsidP="007C302E">
            <w:pPr>
              <w:spacing w:line="360" w:lineRule="atLeast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531E35" w:rsidRPr="00531E35">
              <w:rPr>
                <w:rFonts w:cs="Times New Roman"/>
                <w:b/>
                <w:bCs/>
                <w:sz w:val="28"/>
                <w:szCs w:val="28"/>
                <w:lang w:val="uk-UA"/>
              </w:rPr>
              <w:t>а</w:t>
            </w:r>
            <w:bookmarkStart w:id="3" w:name="_Hlt70683382"/>
            <w:bookmarkEnd w:id="3"/>
            <w:r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31E35" w:rsidRPr="00531E35">
              <w:rPr>
                <w:rFonts w:cs="Times New Roman"/>
                <w:b/>
                <w:sz w:val="28"/>
                <w:szCs w:val="28"/>
              </w:rPr>
              <w:t xml:space="preserve">норм </w:t>
            </w:r>
            <w:proofErr w:type="spellStart"/>
            <w:r w:rsidR="00531E35" w:rsidRPr="00531E35">
              <w:rPr>
                <w:rFonts w:cs="Times New Roman"/>
                <w:b/>
                <w:sz w:val="28"/>
                <w:szCs w:val="28"/>
              </w:rPr>
              <w:t>споживання</w:t>
            </w:r>
            <w:proofErr w:type="spellEnd"/>
            <w:r w:rsidR="00531E35" w:rsidRPr="00531E3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31E35" w:rsidRPr="00531E35">
              <w:rPr>
                <w:rFonts w:cs="Times New Roman"/>
                <w:b/>
                <w:sz w:val="28"/>
                <w:szCs w:val="28"/>
              </w:rPr>
              <w:t>питної</w:t>
            </w:r>
            <w:proofErr w:type="spellEnd"/>
            <w:r w:rsidR="00531E35" w:rsidRPr="00531E35">
              <w:rPr>
                <w:rFonts w:cs="Times New Roman"/>
                <w:b/>
                <w:sz w:val="28"/>
                <w:szCs w:val="28"/>
              </w:rPr>
              <w:t xml:space="preserve"> води для </w:t>
            </w:r>
            <w:proofErr w:type="spellStart"/>
            <w:r w:rsidR="00531E35" w:rsidRPr="00531E35">
              <w:rPr>
                <w:rFonts w:cs="Times New Roman"/>
                <w:b/>
                <w:sz w:val="28"/>
                <w:szCs w:val="28"/>
              </w:rPr>
              <w:t>споживачів</w:t>
            </w:r>
            <w:proofErr w:type="spellEnd"/>
            <w:r w:rsidR="00531E35" w:rsidRPr="00531E35">
              <w:rPr>
                <w:rFonts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7753A" w:rsidRPr="000E3392" w:rsidRDefault="00531E35" w:rsidP="007C302E">
            <w:pPr>
              <w:spacing w:line="360" w:lineRule="atLeast"/>
              <w:jc w:val="center"/>
              <w:rPr>
                <w:rFonts w:cs="Times New Roman"/>
                <w:bCs/>
                <w:color w:val="EB7B00"/>
                <w:sz w:val="28"/>
                <w:szCs w:val="28"/>
              </w:rPr>
            </w:pPr>
            <w:proofErr w:type="spellStart"/>
            <w:r w:rsidRPr="00531E35">
              <w:rPr>
                <w:rFonts w:cs="Times New Roman"/>
                <w:b/>
                <w:sz w:val="28"/>
                <w:szCs w:val="28"/>
              </w:rPr>
              <w:t>які</w:t>
            </w:r>
            <w:proofErr w:type="spellEnd"/>
            <w:r w:rsidRPr="00531E35">
              <w:rPr>
                <w:rFonts w:cs="Times New Roman"/>
                <w:b/>
                <w:sz w:val="28"/>
                <w:szCs w:val="28"/>
              </w:rPr>
              <w:t xml:space="preserve"> не </w:t>
            </w:r>
            <w:proofErr w:type="spellStart"/>
            <w:r w:rsidRPr="00531E35">
              <w:rPr>
                <w:rFonts w:cs="Times New Roman"/>
                <w:b/>
                <w:sz w:val="28"/>
                <w:szCs w:val="28"/>
              </w:rPr>
              <w:t>мають</w:t>
            </w:r>
            <w:proofErr w:type="spellEnd"/>
            <w:r w:rsidRPr="00531E3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b/>
                <w:sz w:val="28"/>
                <w:szCs w:val="28"/>
              </w:rPr>
              <w:t>засобів</w:t>
            </w:r>
            <w:proofErr w:type="spellEnd"/>
            <w:r w:rsidRPr="00531E3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1E35">
              <w:rPr>
                <w:rFonts w:cs="Times New Roman"/>
                <w:b/>
                <w:sz w:val="28"/>
                <w:szCs w:val="28"/>
              </w:rPr>
              <w:t>обл</w:t>
            </w:r>
            <w:proofErr w:type="gramEnd"/>
            <w:r w:rsidRPr="00531E35">
              <w:rPr>
                <w:rFonts w:cs="Times New Roman"/>
                <w:b/>
                <w:sz w:val="28"/>
                <w:szCs w:val="28"/>
              </w:rPr>
              <w:t>іку</w:t>
            </w:r>
            <w:proofErr w:type="spellEnd"/>
            <w:r w:rsidR="008177B8">
              <w:rPr>
                <w:rFonts w:cs="Times New Roman"/>
                <w:b/>
                <w:sz w:val="28"/>
                <w:szCs w:val="28"/>
                <w:lang w:val="uk-UA"/>
              </w:rPr>
              <w:t>»</w:t>
            </w:r>
            <w:r w:rsidR="0097753A" w:rsidRPr="00531E35">
              <w:rPr>
                <w:rFonts w:cs="Times New Roman"/>
                <w:bCs/>
                <w:sz w:val="28"/>
                <w:szCs w:val="28"/>
              </w:rPr>
              <w:t xml:space="preserve">  </w:t>
            </w:r>
            <w:r w:rsidR="00A11D87" w:rsidRPr="00531E35">
              <w:rPr>
                <w:rFonts w:cs="Times New Roman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" w:type="pct"/>
            <w:vAlign w:val="center"/>
            <w:hideMark/>
          </w:tcPr>
          <w:p w:rsidR="0097753A" w:rsidRPr="00531E35" w:rsidRDefault="00531E35" w:rsidP="00531E35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3" w:type="pct"/>
            <w:vAlign w:val="center"/>
            <w:hideMark/>
          </w:tcPr>
          <w:p w:rsidR="0097753A" w:rsidRPr="0097753A" w:rsidRDefault="0097753A" w:rsidP="0097753A">
            <w:pPr>
              <w:jc w:val="right"/>
              <w:rPr>
                <w:rFonts w:cs="Times New Roman"/>
              </w:rPr>
            </w:pPr>
          </w:p>
        </w:tc>
        <w:tc>
          <w:tcPr>
            <w:tcW w:w="3" w:type="pct"/>
            <w:vAlign w:val="center"/>
            <w:hideMark/>
          </w:tcPr>
          <w:p w:rsidR="0097753A" w:rsidRPr="0097753A" w:rsidRDefault="0097753A" w:rsidP="0097753A">
            <w:pPr>
              <w:jc w:val="right"/>
              <w:rPr>
                <w:rFonts w:cs="Times New Roman"/>
              </w:rPr>
            </w:pPr>
          </w:p>
        </w:tc>
      </w:tr>
    </w:tbl>
    <w:p w:rsidR="0097753A" w:rsidRPr="0097753A" w:rsidRDefault="0097753A" w:rsidP="0097753A">
      <w:pPr>
        <w:spacing w:line="240" w:lineRule="atLeast"/>
        <w:rPr>
          <w:rFonts w:ascii="Arial" w:hAnsi="Arial" w:cs="Arial"/>
          <w:vanish/>
          <w:color w:val="333333"/>
          <w:sz w:val="18"/>
        </w:rPr>
      </w:pP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9975"/>
      </w:tblGrid>
      <w:tr w:rsidR="0097753A" w:rsidRPr="00531E35" w:rsidTr="0097753A">
        <w:trPr>
          <w:trHeight w:val="300"/>
        </w:trPr>
        <w:tc>
          <w:tcPr>
            <w:tcW w:w="0" w:type="auto"/>
            <w:tcMar>
              <w:top w:w="0" w:type="dxa"/>
              <w:left w:w="300" w:type="dxa"/>
              <w:bottom w:w="75" w:type="dxa"/>
              <w:right w:w="0" w:type="dxa"/>
            </w:tcMar>
            <w:hideMark/>
          </w:tcPr>
          <w:p w:rsidR="0097753A" w:rsidRPr="00531E35" w:rsidRDefault="0097753A" w:rsidP="009775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7753A" w:rsidRPr="00531E35" w:rsidTr="0097753A">
        <w:tc>
          <w:tcPr>
            <w:tcW w:w="0" w:type="auto"/>
            <w:hideMark/>
          </w:tcPr>
          <w:p w:rsidR="00531E35" w:rsidRPr="00531E35" w:rsidRDefault="0097753A" w:rsidP="009314BA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31E35">
              <w:rPr>
                <w:rFonts w:cs="Times New Roman"/>
                <w:sz w:val="28"/>
                <w:szCs w:val="28"/>
              </w:rPr>
              <w:t>Визначення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проблеми</w:t>
            </w:r>
            <w:proofErr w:type="spellEnd"/>
          </w:p>
          <w:p w:rsidR="000E3392" w:rsidRPr="00531E35" w:rsidRDefault="0097753A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1E35">
              <w:rPr>
                <w:rFonts w:cs="Times New Roman"/>
                <w:sz w:val="28"/>
                <w:szCs w:val="28"/>
                <w:lang w:val="uk-UA"/>
              </w:rPr>
              <w:br/>
              <w:t>Затвердження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   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 xml:space="preserve"> тарифів на </w:t>
            </w:r>
            <w:r w:rsidR="00531E35">
              <w:rPr>
                <w:rFonts w:cs="Times New Roman"/>
                <w:sz w:val="28"/>
                <w:szCs w:val="28"/>
                <w:lang w:val="uk-UA"/>
              </w:rPr>
              <w:t xml:space="preserve">централізоване 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>водопостачання</w:t>
            </w:r>
            <w:r w:rsidR="00531E35">
              <w:rPr>
                <w:rFonts w:cs="Times New Roman"/>
                <w:sz w:val="28"/>
                <w:szCs w:val="28"/>
                <w:lang w:val="uk-UA"/>
              </w:rPr>
              <w:t xml:space="preserve"> та норм споживання питної води для споживачів, які не мають засобів обліку,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  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 xml:space="preserve"> пов’язане із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 xml:space="preserve"> збільшенням собівартості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 xml:space="preserve"> надання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 xml:space="preserve"> послуг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 xml:space="preserve"> яке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 xml:space="preserve"> спричинило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 xml:space="preserve"> підвищення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 xml:space="preserve"> заробітної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 xml:space="preserve"> плати, відрахувань, підвищення тарифів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 xml:space="preserve"> на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 xml:space="preserve"> електроенергію</w:t>
            </w:r>
            <w:r w:rsidR="00531E35">
              <w:rPr>
                <w:rFonts w:cs="Times New Roman"/>
                <w:sz w:val="28"/>
                <w:szCs w:val="28"/>
                <w:lang w:val="uk-UA"/>
              </w:rPr>
              <w:t xml:space="preserve"> та матеріали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t>.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Pr="00531E35">
              <w:rPr>
                <w:rFonts w:cs="Times New Roman"/>
                <w:sz w:val="28"/>
                <w:szCs w:val="28"/>
                <w:lang w:val="uk-UA"/>
              </w:rPr>
              <w:br/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Аналіз  проблеми  обу</w:t>
            </w:r>
            <w:r w:rsidR="000E3392" w:rsidRPr="00531E35">
              <w:rPr>
                <w:rFonts w:cs="Times New Roman"/>
                <w:sz w:val="28"/>
                <w:szCs w:val="28"/>
                <w:lang w:val="uk-UA"/>
              </w:rPr>
              <w:t>мо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>влений  економічним  обґрунтуванням  витрат при  розрахунку собівартості </w:t>
            </w:r>
            <w:r w:rsidR="00531E35">
              <w:rPr>
                <w:rFonts w:cs="Times New Roman"/>
                <w:sz w:val="28"/>
                <w:szCs w:val="28"/>
                <w:lang w:val="uk-UA"/>
              </w:rPr>
              <w:t>1 м3 (одного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 xml:space="preserve"> метра кубічного</w:t>
            </w:r>
            <w:r w:rsidR="00531E35">
              <w:rPr>
                <w:rFonts w:cs="Times New Roman"/>
                <w:sz w:val="28"/>
                <w:szCs w:val="28"/>
                <w:lang w:val="uk-UA"/>
              </w:rPr>
              <w:t>)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t xml:space="preserve"> води.</w:t>
            </w:r>
            <w:r w:rsidRPr="00C37C67">
              <w:rPr>
                <w:rFonts w:cs="Times New Roman"/>
                <w:sz w:val="28"/>
                <w:szCs w:val="28"/>
                <w:lang w:val="uk-UA"/>
              </w:rPr>
              <w:br/>
            </w:r>
            <w:r w:rsidRPr="00531E35">
              <w:rPr>
                <w:rFonts w:cs="Times New Roman"/>
                <w:sz w:val="28"/>
                <w:szCs w:val="28"/>
              </w:rPr>
              <w:br/>
              <w:t xml:space="preserve">2.Обгрунтування  потреби  державного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регулювання</w:t>
            </w:r>
            <w:proofErr w:type="spellEnd"/>
            <w:r w:rsidR="00531E35" w:rsidRPr="00531E35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531E35">
              <w:rPr>
                <w:rFonts w:cs="Times New Roman"/>
                <w:sz w:val="28"/>
                <w:szCs w:val="28"/>
              </w:rPr>
              <w:t xml:space="preserve">Закон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України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від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11.09. 2003 року № 1160-1,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стаття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9 «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Оприлюднення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проектів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регуляторних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актів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метою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одержання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зауважень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пропозицій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»</w:t>
            </w:r>
            <w:r w:rsidR="00531E35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якісного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послуг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в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сфері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житлов</w:t>
            </w:r>
            <w:proofErr w:type="gramStart"/>
            <w:r w:rsidRPr="00531E35">
              <w:rPr>
                <w:rFonts w:cs="Times New Roman"/>
                <w:sz w:val="28"/>
                <w:szCs w:val="28"/>
              </w:rPr>
              <w:t>о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господарства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.</w:t>
            </w:r>
            <w:r w:rsidRPr="00531E35">
              <w:rPr>
                <w:rFonts w:cs="Times New Roman"/>
                <w:sz w:val="28"/>
                <w:szCs w:val="28"/>
              </w:rPr>
              <w:br/>
            </w:r>
            <w:r w:rsidRPr="00531E35">
              <w:rPr>
                <w:rFonts w:cs="Times New Roman"/>
                <w:sz w:val="28"/>
                <w:szCs w:val="28"/>
              </w:rPr>
              <w:br/>
              <w:t xml:space="preserve">3.Обгрунтування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неможливості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розв’язання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проблеми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за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допомогою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діючих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регуляторних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актів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 </w:t>
            </w:r>
            <w:r w:rsidR="00531E35">
              <w:rPr>
                <w:rFonts w:cs="Times New Roman"/>
                <w:sz w:val="28"/>
                <w:szCs w:val="28"/>
                <w:lang w:val="uk-UA"/>
              </w:rPr>
              <w:t xml:space="preserve">, </w:t>
            </w:r>
            <w:r w:rsidRPr="00531E35">
              <w:rPr>
                <w:rFonts w:cs="Times New Roman"/>
                <w:sz w:val="28"/>
                <w:szCs w:val="28"/>
              </w:rPr>
              <w:t xml:space="preserve">Постанова  КМУ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</w:t>
            </w:r>
            <w:r w:rsidR="00531E35">
              <w:rPr>
                <w:rFonts w:cs="Times New Roman"/>
                <w:sz w:val="28"/>
                <w:szCs w:val="28"/>
              </w:rPr>
              <w:t>ід</w:t>
            </w:r>
            <w:proofErr w:type="spellEnd"/>
            <w:r w:rsidR="00531E35">
              <w:rPr>
                <w:rFonts w:cs="Times New Roman"/>
                <w:sz w:val="28"/>
                <w:szCs w:val="28"/>
              </w:rPr>
              <w:t xml:space="preserve"> 27  лютого 2007  року № 297</w:t>
            </w:r>
            <w:r w:rsidR="00531E35">
              <w:rPr>
                <w:rFonts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розрахунків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економічно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  -</w:t>
            </w:r>
            <w:r w:rsidR="00531E35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обгрунтованих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планових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витрат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пов’язаних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виробництвом</w:t>
            </w:r>
            <w:proofErr w:type="spellEnd"/>
            <w:proofErr w:type="gramStart"/>
            <w:r w:rsidRPr="00531E35">
              <w:rPr>
                <w:rFonts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531E35">
              <w:rPr>
                <w:rFonts w:cs="Times New Roman"/>
                <w:sz w:val="28"/>
                <w:szCs w:val="28"/>
              </w:rPr>
              <w:t>транспортуванням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,</w:t>
            </w:r>
            <w:r w:rsidR="00531E35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наданням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послуг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централізованого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водопостачання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та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водовідведення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,</w:t>
            </w:r>
            <w:r w:rsidR="00531E35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вивезенням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побутових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відходів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»</w:t>
            </w:r>
            <w:r w:rsidR="007C302E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531E35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Здійснення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контролю у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сфері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захисту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суспільної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моралі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) </w:t>
            </w:r>
          </w:p>
          <w:p w:rsidR="0052412C" w:rsidRDefault="0052412C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FD50C1" w:rsidRDefault="0097753A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531E35">
              <w:rPr>
                <w:rFonts w:cs="Times New Roman"/>
                <w:sz w:val="28"/>
                <w:szCs w:val="28"/>
              </w:rPr>
              <w:t xml:space="preserve">4.Очікувані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результати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прийняття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регуляторного  акту</w:t>
            </w:r>
            <w:proofErr w:type="gramStart"/>
            <w:r w:rsidRPr="00531E35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очікувані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витрати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та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вигоди</w:t>
            </w:r>
            <w:proofErr w:type="spellEnd"/>
            <w:r w:rsidR="0052412C">
              <w:rPr>
                <w:rFonts w:cs="Times New Roman"/>
                <w:sz w:val="28"/>
                <w:szCs w:val="28"/>
                <w:lang w:val="uk-UA"/>
              </w:rPr>
              <w:t>.</w:t>
            </w:r>
            <w:r w:rsidRPr="00531E35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розрахунків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собівартості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одного  метра  куб. 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спрямоване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зменшення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покриття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витрат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пов’язаних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  (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виробництвом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організацією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роботи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  та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збільшення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доходів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.</w:t>
            </w:r>
            <w:r w:rsidRPr="00531E35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Нові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тарифи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мають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сприяти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забезпеченню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якісної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роботи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в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цілому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по  </w:t>
            </w:r>
            <w:proofErr w:type="spellStart"/>
            <w:proofErr w:type="gramStart"/>
            <w:r w:rsidRPr="00531E3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531E35">
              <w:rPr>
                <w:rFonts w:cs="Times New Roman"/>
                <w:sz w:val="28"/>
                <w:szCs w:val="28"/>
              </w:rPr>
              <w:t>ідприємству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.</w:t>
            </w:r>
            <w:r w:rsidRPr="00531E35">
              <w:rPr>
                <w:rFonts w:cs="Times New Roman"/>
                <w:sz w:val="28"/>
                <w:szCs w:val="28"/>
              </w:rPr>
              <w:br/>
            </w:r>
            <w:r w:rsidRPr="00531E35">
              <w:rPr>
                <w:rFonts w:cs="Times New Roman"/>
                <w:sz w:val="28"/>
                <w:szCs w:val="28"/>
              </w:rPr>
              <w:br/>
              <w:t xml:space="preserve">5.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Визначення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альтернативних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способів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досягнення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цілей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Альтернативні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засоби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відсутні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.</w:t>
            </w:r>
            <w:r w:rsidRPr="00531E35">
              <w:rPr>
                <w:rFonts w:cs="Times New Roman"/>
                <w:sz w:val="28"/>
                <w:szCs w:val="28"/>
              </w:rPr>
              <w:br/>
            </w:r>
            <w:r w:rsidRPr="00531E35">
              <w:rPr>
                <w:rFonts w:cs="Times New Roman"/>
                <w:sz w:val="28"/>
                <w:szCs w:val="28"/>
              </w:rPr>
              <w:br/>
              <w:t xml:space="preserve">6.Переваги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обраного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способу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досягнення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цілі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Вирішується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проблема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врегулювання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статей «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видатки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»  та «доходи»</w:t>
            </w:r>
            <w:r w:rsidR="00782FA8">
              <w:rPr>
                <w:rFonts w:cs="Times New Roman"/>
                <w:sz w:val="28"/>
                <w:szCs w:val="28"/>
                <w:lang w:val="uk-UA"/>
              </w:rPr>
              <w:t>.</w:t>
            </w:r>
            <w:r w:rsidRPr="00531E35">
              <w:rPr>
                <w:rFonts w:cs="Times New Roman"/>
                <w:sz w:val="28"/>
                <w:szCs w:val="28"/>
              </w:rPr>
              <w:br/>
            </w:r>
            <w:r w:rsidRPr="00531E35">
              <w:rPr>
                <w:rFonts w:cs="Times New Roman"/>
                <w:sz w:val="28"/>
                <w:szCs w:val="28"/>
              </w:rPr>
              <w:br/>
              <w:t xml:space="preserve">7.Механізми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  заходи</w:t>
            </w:r>
            <w:proofErr w:type="gramStart"/>
            <w:r w:rsidRPr="00531E35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які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забезпечать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розв’язання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проблеми</w:t>
            </w:r>
            <w:proofErr w:type="spellEnd"/>
            <w:r w:rsidR="00782FA8">
              <w:rPr>
                <w:rFonts w:cs="Times New Roman"/>
                <w:sz w:val="28"/>
                <w:szCs w:val="28"/>
                <w:lang w:val="uk-UA"/>
              </w:rPr>
              <w:t>.</w:t>
            </w:r>
            <w:r w:rsidRPr="00531E35">
              <w:rPr>
                <w:rFonts w:cs="Times New Roman"/>
                <w:sz w:val="28"/>
                <w:szCs w:val="28"/>
              </w:rPr>
              <w:t> </w:t>
            </w:r>
            <w:r w:rsidRPr="00531E35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lastRenderedPageBreak/>
              <w:t>Савранське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ВУЖКГ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приймає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proofErr w:type="gramStart"/>
            <w:r w:rsidRPr="00531E3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31E35">
              <w:rPr>
                <w:rFonts w:cs="Times New Roman"/>
                <w:sz w:val="28"/>
                <w:szCs w:val="28"/>
              </w:rPr>
              <w:t>ішення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  про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зміну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вартості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послуг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керуючись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збільшенням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собівартості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  1 куб.м води, яка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впливає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на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економічне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становище  на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підприємстві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 , заходами  по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поліпшенню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такого  становища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підвищення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тарифів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 xml:space="preserve">  на  </w:t>
            </w:r>
            <w:proofErr w:type="spellStart"/>
            <w:r w:rsidRPr="00531E35">
              <w:rPr>
                <w:rFonts w:cs="Times New Roman"/>
                <w:sz w:val="28"/>
                <w:szCs w:val="28"/>
              </w:rPr>
              <w:t>послуги</w:t>
            </w:r>
            <w:proofErr w:type="spellEnd"/>
            <w:r w:rsidRPr="00531E35">
              <w:rPr>
                <w:rFonts w:cs="Times New Roman"/>
                <w:sz w:val="28"/>
                <w:szCs w:val="28"/>
              </w:rPr>
              <w:t>.</w:t>
            </w:r>
            <w:r w:rsidRPr="00531E35">
              <w:rPr>
                <w:rFonts w:cs="Times New Roman"/>
                <w:sz w:val="28"/>
                <w:szCs w:val="28"/>
              </w:rPr>
              <w:br/>
            </w:r>
            <w:r w:rsidRPr="00531E35">
              <w:rPr>
                <w:rFonts w:cs="Times New Roman"/>
                <w:sz w:val="28"/>
                <w:szCs w:val="28"/>
              </w:rPr>
              <w:br/>
              <w:t>8</w:t>
            </w:r>
            <w:r w:rsidRPr="00C37C67">
              <w:rPr>
                <w:rFonts w:cs="Times New Roman"/>
                <w:sz w:val="28"/>
                <w:szCs w:val="28"/>
              </w:rPr>
              <w:t xml:space="preserve">. Довести, </w:t>
            </w:r>
            <w:proofErr w:type="spellStart"/>
            <w:r w:rsidRPr="00C37C67">
              <w:rPr>
                <w:rFonts w:cs="Times New Roman"/>
                <w:sz w:val="28"/>
                <w:szCs w:val="28"/>
              </w:rPr>
              <w:t>що</w:t>
            </w:r>
            <w:proofErr w:type="spellEnd"/>
            <w:r w:rsidRPr="00C37C6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37C67">
              <w:rPr>
                <w:rFonts w:cs="Times New Roman"/>
                <w:sz w:val="28"/>
                <w:szCs w:val="28"/>
              </w:rPr>
              <w:t>вигоди</w:t>
            </w:r>
            <w:proofErr w:type="spellEnd"/>
            <w:r w:rsidRPr="00C37C67">
              <w:rPr>
                <w:rFonts w:cs="Times New Roman"/>
                <w:sz w:val="28"/>
                <w:szCs w:val="28"/>
              </w:rPr>
              <w:t xml:space="preserve">   </w:t>
            </w:r>
            <w:proofErr w:type="spellStart"/>
            <w:r w:rsidRPr="00C37C67">
              <w:rPr>
                <w:rFonts w:cs="Times New Roman"/>
                <w:sz w:val="28"/>
                <w:szCs w:val="28"/>
              </w:rPr>
              <w:t>виправдовують</w:t>
            </w:r>
            <w:proofErr w:type="spellEnd"/>
            <w:r w:rsidRPr="00C37C67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C37C67">
              <w:rPr>
                <w:rFonts w:cs="Times New Roman"/>
                <w:sz w:val="28"/>
                <w:szCs w:val="28"/>
              </w:rPr>
              <w:t>витрати</w:t>
            </w:r>
            <w:proofErr w:type="spellEnd"/>
            <w:r w:rsidR="00FD50C1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Розміри тарифів планується провести </w:t>
            </w:r>
            <w:r w:rsidRPr="0057458B">
              <w:rPr>
                <w:rFonts w:cs="Times New Roman"/>
                <w:sz w:val="28"/>
                <w:szCs w:val="28"/>
                <w:lang w:val="uk-UA"/>
              </w:rPr>
              <w:t>у відповідність до складових витрат у собівартості тарифів</w:t>
            </w:r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Собівартість подачі 1 м3 води – 34,68 грн.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Рівень рентабельності – 15% (згідно постанови КМУ від 01.06.2011 року № 869) – 5,22 грн. </w:t>
            </w:r>
          </w:p>
          <w:p w:rsidR="00FD50C1" w:rsidRPr="00455163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455163">
              <w:rPr>
                <w:rFonts w:cs="Times New Roman"/>
                <w:sz w:val="28"/>
                <w:szCs w:val="28"/>
                <w:lang w:val="uk-UA"/>
              </w:rPr>
              <w:t xml:space="preserve">Розмір планового тарифу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для населення </w:t>
            </w:r>
            <w:r w:rsidRPr="00455163">
              <w:rPr>
                <w:rFonts w:cs="Times New Roman"/>
                <w:sz w:val="28"/>
                <w:szCs w:val="28"/>
                <w:lang w:val="uk-UA"/>
              </w:rPr>
              <w:t>– 39,90 грн..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Собівартість подачі 1 м3 води – 34,68 грн.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Рівень рентабельності – 30% (згідно постанови КМУ від 01.06.2011 року № 869) – 10,40 грн. 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Для</w:t>
            </w:r>
            <w:r w:rsidRPr="0045516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55163">
              <w:rPr>
                <w:rFonts w:cs="Times New Roman"/>
                <w:sz w:val="28"/>
                <w:szCs w:val="28"/>
              </w:rPr>
              <w:t>бюджетних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і інших установ – 45,08 грн.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FD50C1" w:rsidRPr="00455163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Діючий тариф затверджено рішенням сесії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Савранської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селищної ради від </w:t>
            </w:r>
            <w:r w:rsidRPr="00455163">
              <w:rPr>
                <w:rFonts w:cs="Times New Roman"/>
                <w:sz w:val="28"/>
                <w:szCs w:val="28"/>
                <w:lang w:val="uk-UA"/>
              </w:rPr>
              <w:t>31.07.2017р  № 346-</w:t>
            </w:r>
            <w:r w:rsidRPr="00E16ACD">
              <w:rPr>
                <w:rFonts w:cs="Times New Roman"/>
                <w:sz w:val="28"/>
                <w:szCs w:val="28"/>
              </w:rPr>
              <w:t>VI</w:t>
            </w:r>
            <w:r w:rsidRPr="00455163">
              <w:rPr>
                <w:rFonts w:cs="Times New Roman"/>
                <w:sz w:val="28"/>
                <w:szCs w:val="28"/>
                <w:lang w:val="uk-UA"/>
              </w:rPr>
              <w:t>І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FD50C1" w:rsidRPr="00FD50C1" w:rsidRDefault="00FD50C1" w:rsidP="009314BA">
            <w:pPr>
              <w:rPr>
                <w:rFonts w:cs="Times New Roman"/>
                <w:sz w:val="28"/>
                <w:szCs w:val="28"/>
              </w:rPr>
            </w:pPr>
            <w:r w:rsidRPr="00FD50C1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для населення 22,17 грн.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455163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455163">
              <w:rPr>
                <w:rFonts w:cs="Times New Roman"/>
                <w:sz w:val="28"/>
                <w:szCs w:val="28"/>
              </w:rPr>
              <w:t>бюджетних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і інших установ - 25,06 грн.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В розрахунку собівартості послуг скориговано 3 (три) статі витрат. А саме: Заробітна плата, вартість електроенергії, витрати на матеріальні ресурси.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До відома.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1.Мінімальна зарплата в діючому тарифі 3200,0 грн. на одного працівника, запланована на 2021 рік 6000,0 грн. (К – 1,875). 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2.Витрати на електроенергію становлять обсяги спожитої електроенергії.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В діючому тарифі вартість за спожиту електроенергію врахована в розмірі 2,36 грн. за 1 кВт./г (без ПДВ). З 01.01.2021 року 3,56 грн.</w:t>
            </w:r>
            <w:r w:rsidRPr="003236C1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>за 1 кВт./г (без ПДВ).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( К-1,510).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3.Витрати на матеріальні ресурси. 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В діючих тарифах врахована вартість 1 літри бензину – 22,50 грн. 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З 01.01.2021 року 26,50 грн. (К-1,2).</w:t>
            </w:r>
          </w:p>
          <w:p w:rsidR="00FD50C1" w:rsidRDefault="00FD50C1" w:rsidP="009314BA">
            <w:pPr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В діючих тарифах вартість матеріалів 156,0 грн. . З 01.01.2021 року 235,0 грн. </w:t>
            </w:r>
          </w:p>
          <w:p w:rsidR="00FD50C1" w:rsidRDefault="00FD50C1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(К-1,51)</w:t>
            </w:r>
          </w:p>
          <w:p w:rsidR="00A4377A" w:rsidRPr="007C302E" w:rsidRDefault="0097753A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FD50C1">
              <w:rPr>
                <w:rFonts w:cs="Times New Roman"/>
                <w:sz w:val="28"/>
                <w:szCs w:val="28"/>
                <w:lang w:val="uk-UA"/>
              </w:rPr>
              <w:br/>
            </w:r>
            <w:r w:rsidRPr="008177B8">
              <w:rPr>
                <w:rFonts w:cs="Times New Roman"/>
                <w:color w:val="333333"/>
                <w:sz w:val="28"/>
                <w:szCs w:val="28"/>
                <w:lang w:val="uk-UA" w:eastAsia="uk-UA"/>
              </w:rPr>
              <w:t>9</w:t>
            </w:r>
            <w:r w:rsidRPr="007C302E">
              <w:rPr>
                <w:rFonts w:cs="Times New Roman"/>
                <w:sz w:val="28"/>
                <w:szCs w:val="28"/>
                <w:lang w:val="uk-UA"/>
              </w:rPr>
              <w:t>. Оцінка можливості</w:t>
            </w:r>
            <w:r w:rsidRPr="00304336">
              <w:rPr>
                <w:rFonts w:cs="Times New Roman"/>
                <w:sz w:val="28"/>
                <w:szCs w:val="28"/>
              </w:rPr>
              <w:t> </w:t>
            </w:r>
            <w:r w:rsidRPr="007C302E">
              <w:rPr>
                <w:rFonts w:cs="Times New Roman"/>
                <w:sz w:val="28"/>
                <w:szCs w:val="28"/>
                <w:lang w:val="uk-UA"/>
              </w:rPr>
              <w:t xml:space="preserve"> впровадження</w:t>
            </w:r>
            <w:r w:rsidRPr="00304336">
              <w:rPr>
                <w:rFonts w:cs="Times New Roman"/>
                <w:sz w:val="28"/>
                <w:szCs w:val="28"/>
              </w:rPr>
              <w:t> </w:t>
            </w:r>
            <w:r w:rsidRPr="007C302E">
              <w:rPr>
                <w:rFonts w:cs="Times New Roman"/>
                <w:sz w:val="28"/>
                <w:szCs w:val="28"/>
                <w:lang w:val="uk-UA"/>
              </w:rPr>
              <w:t xml:space="preserve"> та виконання вимог</w:t>
            </w:r>
            <w:r w:rsidRPr="00304336">
              <w:rPr>
                <w:rFonts w:cs="Times New Roman"/>
                <w:sz w:val="28"/>
                <w:szCs w:val="28"/>
              </w:rPr>
              <w:t> </w:t>
            </w:r>
            <w:r w:rsidRPr="007C302E">
              <w:rPr>
                <w:rFonts w:cs="Times New Roman"/>
                <w:sz w:val="28"/>
                <w:szCs w:val="28"/>
                <w:lang w:val="uk-UA"/>
              </w:rPr>
              <w:t xml:space="preserve"> регуляторного акту залежно від ресурсів , якими</w:t>
            </w:r>
            <w:r w:rsidRPr="00304336">
              <w:rPr>
                <w:rFonts w:cs="Times New Roman"/>
                <w:sz w:val="28"/>
                <w:szCs w:val="28"/>
              </w:rPr>
              <w:t> </w:t>
            </w:r>
            <w:r w:rsidRPr="007C302E">
              <w:rPr>
                <w:rFonts w:cs="Times New Roman"/>
                <w:sz w:val="28"/>
                <w:szCs w:val="28"/>
                <w:lang w:val="uk-UA"/>
              </w:rPr>
              <w:t xml:space="preserve"> розпоряджаються органи</w:t>
            </w:r>
            <w:r w:rsidRPr="00304336">
              <w:rPr>
                <w:rFonts w:cs="Times New Roman"/>
                <w:sz w:val="28"/>
                <w:szCs w:val="28"/>
              </w:rPr>
              <w:t> </w:t>
            </w:r>
            <w:r w:rsidRPr="007C302E">
              <w:rPr>
                <w:rFonts w:cs="Times New Roman"/>
                <w:sz w:val="28"/>
                <w:szCs w:val="28"/>
                <w:lang w:val="uk-UA"/>
              </w:rPr>
              <w:t xml:space="preserve"> місцевого</w:t>
            </w:r>
            <w:r w:rsidRPr="00304336">
              <w:rPr>
                <w:rFonts w:cs="Times New Roman"/>
                <w:sz w:val="28"/>
                <w:szCs w:val="28"/>
              </w:rPr>
              <w:t> </w:t>
            </w:r>
            <w:r w:rsidRPr="007C302E">
              <w:rPr>
                <w:rFonts w:cs="Times New Roman"/>
                <w:sz w:val="28"/>
                <w:szCs w:val="28"/>
                <w:lang w:val="uk-UA"/>
              </w:rPr>
              <w:t xml:space="preserve"> самоврядування  юридичні</w:t>
            </w:r>
            <w:r w:rsidRPr="00304336">
              <w:rPr>
                <w:rFonts w:cs="Times New Roman"/>
                <w:sz w:val="28"/>
                <w:szCs w:val="28"/>
              </w:rPr>
              <w:t> </w:t>
            </w:r>
            <w:r w:rsidRPr="007C302E">
              <w:rPr>
                <w:rFonts w:cs="Times New Roman"/>
                <w:sz w:val="28"/>
                <w:szCs w:val="28"/>
                <w:lang w:val="uk-UA"/>
              </w:rPr>
              <w:t xml:space="preserve"> особи , які</w:t>
            </w:r>
            <w:r w:rsidRPr="00304336">
              <w:rPr>
                <w:rFonts w:cs="Times New Roman"/>
                <w:sz w:val="28"/>
                <w:szCs w:val="28"/>
              </w:rPr>
              <w:t> </w:t>
            </w:r>
            <w:r w:rsidRPr="007C302E">
              <w:rPr>
                <w:rFonts w:cs="Times New Roman"/>
                <w:sz w:val="28"/>
                <w:szCs w:val="28"/>
                <w:lang w:val="uk-UA"/>
              </w:rPr>
              <w:t xml:space="preserve"> повинні</w:t>
            </w:r>
            <w:r w:rsidRPr="00304336">
              <w:rPr>
                <w:rFonts w:cs="Times New Roman"/>
                <w:sz w:val="28"/>
                <w:szCs w:val="28"/>
              </w:rPr>
              <w:t>  </w:t>
            </w:r>
            <w:r w:rsidRPr="007C302E">
              <w:rPr>
                <w:rFonts w:cs="Times New Roman"/>
                <w:sz w:val="28"/>
                <w:szCs w:val="28"/>
                <w:lang w:val="uk-UA"/>
              </w:rPr>
              <w:t xml:space="preserve"> впроваджувати</w:t>
            </w:r>
            <w:r w:rsidRPr="00304336">
              <w:rPr>
                <w:rFonts w:cs="Times New Roman"/>
                <w:sz w:val="28"/>
                <w:szCs w:val="28"/>
              </w:rPr>
              <w:t>  </w:t>
            </w:r>
            <w:r w:rsidRPr="007C302E">
              <w:rPr>
                <w:rFonts w:cs="Times New Roman"/>
                <w:sz w:val="28"/>
                <w:szCs w:val="28"/>
                <w:lang w:val="uk-UA"/>
              </w:rPr>
              <w:t xml:space="preserve"> або виконувати ці</w:t>
            </w:r>
            <w:r w:rsidRPr="00304336">
              <w:rPr>
                <w:rFonts w:cs="Times New Roman"/>
                <w:sz w:val="28"/>
                <w:szCs w:val="28"/>
              </w:rPr>
              <w:t> </w:t>
            </w:r>
            <w:r w:rsidRPr="007C302E">
              <w:rPr>
                <w:rFonts w:cs="Times New Roman"/>
                <w:sz w:val="28"/>
                <w:szCs w:val="28"/>
                <w:lang w:val="uk-UA"/>
              </w:rPr>
              <w:t xml:space="preserve"> вимоги.</w:t>
            </w:r>
          </w:p>
          <w:p w:rsidR="00A94AA3" w:rsidRPr="00304336" w:rsidRDefault="0097753A" w:rsidP="009314BA">
            <w:pPr>
              <w:rPr>
                <w:rFonts w:cs="Times New Roman"/>
                <w:sz w:val="28"/>
                <w:szCs w:val="28"/>
              </w:rPr>
            </w:pPr>
            <w:r w:rsidRPr="007C302E">
              <w:rPr>
                <w:rFonts w:cs="Times New Roman"/>
                <w:sz w:val="28"/>
                <w:szCs w:val="28"/>
                <w:lang w:val="uk-UA"/>
              </w:rPr>
              <w:br/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Впровадження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   та 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виконання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вимог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запропонованого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  регуляторного   акту не  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lastRenderedPageBreak/>
              <w:t>вимагає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від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суб’єктів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господарювання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ніяких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додаткових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витрат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>.</w:t>
            </w:r>
            <w:r w:rsidRPr="00304336">
              <w:rPr>
                <w:rFonts w:cs="Times New Roman"/>
                <w:sz w:val="28"/>
                <w:szCs w:val="28"/>
              </w:rPr>
              <w:br/>
            </w:r>
            <w:r w:rsidRPr="00531E35">
              <w:rPr>
                <w:rFonts w:cs="Times New Roman"/>
                <w:sz w:val="28"/>
                <w:szCs w:val="28"/>
              </w:rPr>
              <w:br/>
            </w:r>
            <w:r w:rsidR="00A94AA3" w:rsidRPr="00304336">
              <w:rPr>
                <w:rFonts w:cs="Times New Roman"/>
                <w:sz w:val="28"/>
                <w:szCs w:val="28"/>
              </w:rPr>
              <w:t xml:space="preserve">10.Оцінка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ризику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впливу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зовнішніх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чинникі</w:t>
            </w:r>
            <w:proofErr w:type="gramStart"/>
            <w:r w:rsidR="00A94AA3" w:rsidRPr="00304336">
              <w:rPr>
                <w:rFonts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A94AA3" w:rsidRPr="0030433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дію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запропонованого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регуляторного акта</w:t>
            </w:r>
          </w:p>
          <w:p w:rsidR="00A94AA3" w:rsidRPr="00304336" w:rsidRDefault="00A94AA3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 xml:space="preserve">На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дію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регуляторного акта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можливий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вплив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зовнішніх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чинників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, </w:t>
            </w:r>
            <w:proofErr w:type="gramStart"/>
            <w:r w:rsidRPr="00304336">
              <w:rPr>
                <w:rFonts w:cs="Times New Roman"/>
                <w:sz w:val="28"/>
                <w:szCs w:val="28"/>
              </w:rPr>
              <w:t>таких</w:t>
            </w:r>
            <w:proofErr w:type="gramEnd"/>
            <w:r w:rsidRPr="00304336">
              <w:rPr>
                <w:rFonts w:cs="Times New Roman"/>
                <w:sz w:val="28"/>
                <w:szCs w:val="28"/>
              </w:rPr>
              <w:t xml:space="preserve"> як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зміни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доповнення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до чинного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законодавства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України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. У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подальшому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зазначеного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433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04336">
              <w:rPr>
                <w:rFonts w:cs="Times New Roman"/>
                <w:sz w:val="28"/>
                <w:szCs w:val="28"/>
              </w:rPr>
              <w:t>ішення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можливе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разі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зміни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вимог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чинного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законодавства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України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або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виникнення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необхідності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в нормативному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врегулюванні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певних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правовідносин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>.</w:t>
            </w:r>
          </w:p>
          <w:p w:rsidR="00A94AA3" w:rsidRPr="00304336" w:rsidRDefault="00A94AA3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> </w:t>
            </w:r>
          </w:p>
          <w:p w:rsidR="00A94AA3" w:rsidRPr="00304336" w:rsidRDefault="00A94AA3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>11. 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Обґрунтування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строку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дії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запропонованого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регуляторного акта</w:t>
            </w:r>
          </w:p>
          <w:p w:rsidR="00A94AA3" w:rsidRPr="00304336" w:rsidRDefault="00A94AA3" w:rsidP="009314B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04336">
              <w:rPr>
                <w:rFonts w:cs="Times New Roman"/>
                <w:sz w:val="28"/>
                <w:szCs w:val="28"/>
              </w:rPr>
              <w:t>Термін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дії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регуляторного акта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необмежений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зміни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доповнення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будуть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вноситись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за потребою </w:t>
            </w:r>
            <w:proofErr w:type="gramStart"/>
            <w:r w:rsidRPr="00304336">
              <w:rPr>
                <w:rFonts w:cs="Times New Roman"/>
                <w:sz w:val="28"/>
                <w:szCs w:val="28"/>
              </w:rPr>
              <w:t>у</w:t>
            </w:r>
            <w:proofErr w:type="gram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відповідності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законодавства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України</w:t>
            </w:r>
            <w:proofErr w:type="spellEnd"/>
          </w:p>
          <w:p w:rsidR="00A94AA3" w:rsidRPr="00304336" w:rsidRDefault="00A94AA3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> </w:t>
            </w:r>
          </w:p>
          <w:p w:rsidR="00A94AA3" w:rsidRPr="00FD50C1" w:rsidRDefault="00A94AA3" w:rsidP="009314B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304336">
              <w:rPr>
                <w:rFonts w:cs="Times New Roman"/>
                <w:sz w:val="28"/>
                <w:szCs w:val="28"/>
              </w:rPr>
              <w:t xml:space="preserve">12.Показники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результативності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регуляторного акта</w:t>
            </w:r>
            <w:r w:rsidR="00FD50C1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A94AA3" w:rsidRPr="00304336" w:rsidRDefault="00A94AA3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 xml:space="preserve">Цей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розділ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4336">
              <w:rPr>
                <w:rFonts w:cs="Times New Roman"/>
                <w:sz w:val="28"/>
                <w:szCs w:val="28"/>
              </w:rPr>
              <w:t>містить</w:t>
            </w:r>
            <w:proofErr w:type="spellEnd"/>
            <w:proofErr w:type="gram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перелік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показників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які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характеризують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наслідки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дії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регуляторного акта.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Саме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30433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304336">
              <w:rPr>
                <w:rFonts w:cs="Times New Roman"/>
                <w:sz w:val="28"/>
                <w:szCs w:val="28"/>
              </w:rPr>
              <w:t>ідставі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порівняння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цих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показників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отриманих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подальшому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даних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(при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проведенні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базового, повторного та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періодичного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відстежень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можна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буде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зробити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висновок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про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досягнення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очікуваних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результатів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досягнення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цілей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регулювання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>).</w:t>
            </w:r>
          </w:p>
          <w:p w:rsidR="00A94AA3" w:rsidRPr="00304336" w:rsidRDefault="00A94AA3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 xml:space="preserve">Для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визначення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результативності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регуляторного акта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пропонується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встановити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такі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статистичні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показники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>:</w:t>
            </w:r>
          </w:p>
          <w:p w:rsidR="00A4377A" w:rsidRPr="00304336" w:rsidRDefault="00A4377A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Кількість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суб'єктів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господарювання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, на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яких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поширюватиметься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дія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94AA3" w:rsidRPr="00304336" w:rsidRDefault="00A4377A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 xml:space="preserve">  </w:t>
            </w:r>
            <w:r w:rsidR="00A94AA3" w:rsidRPr="00304336">
              <w:rPr>
                <w:rFonts w:cs="Times New Roman"/>
                <w:sz w:val="28"/>
                <w:szCs w:val="28"/>
              </w:rPr>
              <w:t>регуляторного акта.</w:t>
            </w:r>
          </w:p>
          <w:p w:rsidR="00A4377A" w:rsidRPr="00304336" w:rsidRDefault="00A4377A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Розмі</w:t>
            </w:r>
            <w:proofErr w:type="gramStart"/>
            <w:r w:rsidR="00A94AA3" w:rsidRPr="00304336">
              <w:rPr>
                <w:rFonts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коштів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час,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що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витрачатимуться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суб'єктами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господарювання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,  </w:t>
            </w:r>
          </w:p>
          <w:p w:rsidR="00A94AA3" w:rsidRPr="00304336" w:rsidRDefault="00A4377A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пов'язаними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з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виконанням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вимог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регуляторного акта.</w:t>
            </w:r>
          </w:p>
          <w:p w:rsidR="00A4377A" w:rsidRPr="00304336" w:rsidRDefault="00A4377A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Динаміка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кількості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укладених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договорів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послуги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централізованого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4377A" w:rsidRPr="00304336" w:rsidRDefault="00A4377A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водопостачання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та норм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споживання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питної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води для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споживачі</w:t>
            </w:r>
            <w:proofErr w:type="gramStart"/>
            <w:r w:rsidR="00A94AA3" w:rsidRPr="00304336">
              <w:rPr>
                <w:rFonts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A94AA3" w:rsidRPr="0030433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які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не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мають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94AA3" w:rsidRPr="00304336" w:rsidRDefault="00A4377A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засобів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94AA3" w:rsidRPr="00304336">
              <w:rPr>
                <w:rFonts w:cs="Times New Roman"/>
                <w:sz w:val="28"/>
                <w:szCs w:val="28"/>
              </w:rPr>
              <w:t>обл</w:t>
            </w:r>
            <w:proofErr w:type="gramEnd"/>
            <w:r w:rsidR="00A94AA3" w:rsidRPr="00304336">
              <w:rPr>
                <w:rFonts w:cs="Times New Roman"/>
                <w:sz w:val="28"/>
                <w:szCs w:val="28"/>
              </w:rPr>
              <w:t>іку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>,</w:t>
            </w:r>
          </w:p>
          <w:p w:rsidR="00A4377A" w:rsidRPr="00304336" w:rsidRDefault="00A4377A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="00A94AA3" w:rsidRPr="0030433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A94AA3" w:rsidRPr="00304336">
              <w:rPr>
                <w:rFonts w:cs="Times New Roman"/>
                <w:sz w:val="28"/>
                <w:szCs w:val="28"/>
              </w:rPr>
              <w:t>івень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поінформованості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суб'єктів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господарювання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з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основних</w:t>
            </w:r>
            <w:proofErr w:type="spellEnd"/>
            <w:r w:rsidR="00A94AA3"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94AA3" w:rsidRPr="00304336">
              <w:rPr>
                <w:rFonts w:cs="Times New Roman"/>
                <w:sz w:val="28"/>
                <w:szCs w:val="28"/>
              </w:rPr>
              <w:t>положень</w:t>
            </w:r>
            <w:proofErr w:type="spellEnd"/>
          </w:p>
          <w:p w:rsidR="00A94AA3" w:rsidRPr="00304336" w:rsidRDefault="00A4377A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 xml:space="preserve">  </w:t>
            </w:r>
            <w:r w:rsidR="00A94AA3" w:rsidRPr="00304336">
              <w:rPr>
                <w:rFonts w:cs="Times New Roman"/>
                <w:sz w:val="28"/>
                <w:szCs w:val="28"/>
              </w:rPr>
              <w:t xml:space="preserve"> регуляторного акта.</w:t>
            </w:r>
          </w:p>
          <w:p w:rsidR="00A4377A" w:rsidRPr="00304336" w:rsidRDefault="00A4377A" w:rsidP="009314BA">
            <w:pPr>
              <w:rPr>
                <w:rFonts w:cs="Times New Roman"/>
                <w:sz w:val="28"/>
                <w:szCs w:val="28"/>
              </w:rPr>
            </w:pPr>
          </w:p>
          <w:p w:rsidR="00A94AA3" w:rsidRPr="00304336" w:rsidRDefault="00A94AA3" w:rsidP="009314BA">
            <w:pPr>
              <w:rPr>
                <w:rFonts w:cs="Times New Roman"/>
                <w:sz w:val="28"/>
                <w:szCs w:val="28"/>
              </w:rPr>
            </w:pPr>
            <w:r w:rsidRPr="00304336">
              <w:rPr>
                <w:rFonts w:cs="Times New Roman"/>
                <w:sz w:val="28"/>
                <w:szCs w:val="28"/>
              </w:rPr>
              <w:t>1</w:t>
            </w:r>
            <w:r w:rsidR="00A4377A" w:rsidRPr="00304336">
              <w:rPr>
                <w:rFonts w:cs="Times New Roman"/>
                <w:sz w:val="28"/>
                <w:szCs w:val="28"/>
              </w:rPr>
              <w:t>3</w:t>
            </w:r>
            <w:r w:rsidRPr="00304336">
              <w:rPr>
                <w:rFonts w:cs="Times New Roman"/>
                <w:sz w:val="28"/>
                <w:szCs w:val="28"/>
              </w:rPr>
              <w:t xml:space="preserve">.Заходи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відстеження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результативності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регуляторного акта</w:t>
            </w:r>
          </w:p>
          <w:p w:rsidR="00A94AA3" w:rsidRPr="00304336" w:rsidRDefault="00A94AA3" w:rsidP="009314B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04336">
              <w:rPr>
                <w:rFonts w:cs="Times New Roman"/>
                <w:sz w:val="28"/>
                <w:szCs w:val="28"/>
              </w:rPr>
              <w:t>Відстеження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результативності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 w:rsidRPr="0030433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04336">
              <w:rPr>
                <w:rFonts w:cs="Times New Roman"/>
                <w:sz w:val="28"/>
                <w:szCs w:val="28"/>
              </w:rPr>
              <w:t>ішення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Савранської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селищної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ради «Про затвердження скоригованих тарифів на централізоване водопостачання та норм споживання питної води для споживачів, які не мають засобів обліку,   здійснюватиметься шляхом аналізу статистичної інформації.</w:t>
            </w:r>
          </w:p>
          <w:p w:rsidR="00A94AA3" w:rsidRPr="00304336" w:rsidRDefault="00A94AA3" w:rsidP="009314B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04336">
              <w:rPr>
                <w:rFonts w:cs="Times New Roman"/>
                <w:sz w:val="28"/>
                <w:szCs w:val="28"/>
              </w:rPr>
              <w:t>Базове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відстеження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результативності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даного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регуляторного акта буде проведено до дня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набрання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чинності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чинного регуляторного акта.</w:t>
            </w:r>
          </w:p>
          <w:p w:rsidR="00A94AA3" w:rsidRPr="00304336" w:rsidRDefault="00A94AA3" w:rsidP="009314B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04336">
              <w:rPr>
                <w:rFonts w:cs="Times New Roman"/>
                <w:sz w:val="28"/>
                <w:szCs w:val="28"/>
              </w:rPr>
              <w:t>Повторне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відстеження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результативності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буде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здійснено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через </w:t>
            </w:r>
            <w:proofErr w:type="spellStart"/>
            <w:proofErr w:type="gramStart"/>
            <w:r w:rsidRPr="0030433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04336">
              <w:rPr>
                <w:rFonts w:cs="Times New Roman"/>
                <w:sz w:val="28"/>
                <w:szCs w:val="28"/>
              </w:rPr>
              <w:t>ік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після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набуття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чинності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даним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регуляторним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актом.</w:t>
            </w:r>
          </w:p>
          <w:p w:rsidR="00A94AA3" w:rsidRPr="00304336" w:rsidRDefault="00A94AA3" w:rsidP="009314B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04336">
              <w:rPr>
                <w:rFonts w:cs="Times New Roman"/>
                <w:sz w:val="28"/>
                <w:szCs w:val="28"/>
              </w:rPr>
              <w:t>Періодичне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відстеження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результативності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, буде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здійснюватися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раз на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кожні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три роки,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починаючи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дня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закінчення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заходів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повторного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відстеження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цього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регуляторного акта,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протягом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строку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його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дії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>.</w:t>
            </w:r>
          </w:p>
          <w:p w:rsidR="00A94AA3" w:rsidRPr="00304336" w:rsidRDefault="00A94AA3" w:rsidP="009314BA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304336">
              <w:rPr>
                <w:rFonts w:cs="Times New Roman"/>
                <w:sz w:val="28"/>
                <w:szCs w:val="28"/>
              </w:rPr>
              <w:t>У</w:t>
            </w:r>
            <w:proofErr w:type="gram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4336">
              <w:rPr>
                <w:rFonts w:cs="Times New Roman"/>
                <w:sz w:val="28"/>
                <w:szCs w:val="28"/>
              </w:rPr>
              <w:t>раз</w:t>
            </w:r>
            <w:proofErr w:type="gramEnd"/>
            <w:r w:rsidRPr="0030433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виявлення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неврегульованих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проблемних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питань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, шляхом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аналізу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якісних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r w:rsidRPr="00304336">
              <w:rPr>
                <w:rFonts w:cs="Times New Roman"/>
                <w:sz w:val="28"/>
                <w:szCs w:val="28"/>
              </w:rPr>
              <w:lastRenderedPageBreak/>
              <w:t xml:space="preserve">та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кількісних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показників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дії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цього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регуляторного акта,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будуть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вноситись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відповідні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зміни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>.     </w:t>
            </w:r>
          </w:p>
          <w:p w:rsidR="00A94AA3" w:rsidRPr="009B077B" w:rsidRDefault="00A94AA3" w:rsidP="009314BA">
            <w:pPr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 w:rsidRPr="00304336">
              <w:rPr>
                <w:rFonts w:cs="Times New Roman"/>
                <w:sz w:val="28"/>
                <w:szCs w:val="28"/>
              </w:rPr>
              <w:t>Пропозиції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зауваження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до проекту </w:t>
            </w:r>
            <w:proofErr w:type="gramStart"/>
            <w:r w:rsidRPr="00304336">
              <w:rPr>
                <w:rFonts w:cs="Times New Roman"/>
                <w:sz w:val="28"/>
                <w:szCs w:val="28"/>
              </w:rPr>
              <w:t>регуляторного</w:t>
            </w:r>
            <w:proofErr w:type="gramEnd"/>
            <w:r w:rsidRPr="00304336">
              <w:rPr>
                <w:rFonts w:cs="Times New Roman"/>
                <w:sz w:val="28"/>
                <w:szCs w:val="28"/>
              </w:rPr>
              <w:t xml:space="preserve"> акту та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аналізу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його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регуляторного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впливу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будуть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прийматися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протязі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місяця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письмові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формі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поштою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з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моменту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його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опублікування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за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адресою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смт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. Саврань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>.. Горького, 4,</w:t>
            </w:r>
            <w:r w:rsidR="006A632E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A632E">
              <w:rPr>
                <w:rFonts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Савранський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ВУЖКГ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або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за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електронною</w:t>
            </w:r>
            <w:proofErr w:type="spellEnd"/>
            <w:r w:rsidRPr="0030433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4336">
              <w:rPr>
                <w:rFonts w:cs="Times New Roman"/>
                <w:sz w:val="28"/>
                <w:szCs w:val="28"/>
              </w:rPr>
              <w:t>поштою</w:t>
            </w:r>
            <w:proofErr w:type="spellEnd"/>
            <w:r w:rsidRPr="009B077B">
              <w:rPr>
                <w:sz w:val="28"/>
                <w:szCs w:val="28"/>
              </w:rPr>
              <w:t xml:space="preserve"> (</w:t>
            </w:r>
            <w:hyperlink r:id="rId5" w:history="1">
              <w:r w:rsidR="00FD50C1">
                <w:rPr>
                  <w:rStyle w:val="a5"/>
                  <w:sz w:val="28"/>
                  <w:szCs w:val="28"/>
                  <w:lang w:val="en-US"/>
                </w:rPr>
                <w:t>S</w:t>
              </w:r>
              <w:r w:rsidR="00FD50C1" w:rsidRPr="00122560">
                <w:rPr>
                  <w:rStyle w:val="a5"/>
                  <w:sz w:val="28"/>
                  <w:szCs w:val="28"/>
                  <w:lang w:val="en-US"/>
                </w:rPr>
                <w:t>avr</w:t>
              </w:r>
              <w:r w:rsidR="00FD50C1">
                <w:rPr>
                  <w:rStyle w:val="a5"/>
                  <w:sz w:val="28"/>
                  <w:szCs w:val="28"/>
                  <w:lang w:val="en-US"/>
                </w:rPr>
                <w:t>srada</w:t>
              </w:r>
              <w:r w:rsidR="00FD50C1" w:rsidRPr="0069773F">
                <w:rPr>
                  <w:rStyle w:val="a5"/>
                  <w:sz w:val="28"/>
                  <w:szCs w:val="28"/>
                  <w:lang w:val="uk-UA"/>
                </w:rPr>
                <w:t>@</w:t>
              </w:r>
              <w:r w:rsidR="00FD50C1">
                <w:rPr>
                  <w:rStyle w:val="a5"/>
                  <w:sz w:val="28"/>
                  <w:szCs w:val="28"/>
                  <w:lang w:val="en-US"/>
                </w:rPr>
                <w:t>gmail</w:t>
              </w:r>
              <w:r w:rsidR="00FD50C1" w:rsidRPr="0069773F">
                <w:rPr>
                  <w:rStyle w:val="a5"/>
                  <w:sz w:val="28"/>
                  <w:szCs w:val="28"/>
                  <w:lang w:val="uk-UA"/>
                </w:rPr>
                <w:t>.</w:t>
              </w:r>
              <w:r w:rsidR="00FD50C1">
                <w:rPr>
                  <w:rStyle w:val="a5"/>
                  <w:sz w:val="28"/>
                  <w:szCs w:val="28"/>
                  <w:lang w:val="en-US"/>
                </w:rPr>
                <w:t>com</w:t>
              </w:r>
            </w:hyperlink>
            <w:r w:rsidRPr="009B077B">
              <w:rPr>
                <w:color w:val="000000"/>
                <w:sz w:val="28"/>
                <w:szCs w:val="28"/>
              </w:rPr>
              <w:t>).</w:t>
            </w:r>
          </w:p>
          <w:p w:rsidR="00A94AA3" w:rsidRPr="009B077B" w:rsidRDefault="00A94AA3" w:rsidP="009314BA">
            <w:pPr>
              <w:shd w:val="clear" w:color="auto" w:fill="FFFFFF"/>
              <w:spacing w:after="150"/>
              <w:rPr>
                <w:rFonts w:cs="Times New Roman"/>
                <w:color w:val="333333"/>
                <w:sz w:val="28"/>
                <w:szCs w:val="28"/>
                <w:lang w:eastAsia="uk-UA"/>
              </w:rPr>
            </w:pPr>
            <w:r w:rsidRPr="009B077B">
              <w:rPr>
                <w:rFonts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  <w:p w:rsidR="0097753A" w:rsidRPr="00531E35" w:rsidRDefault="0097753A" w:rsidP="009314B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AC3BE6" w:rsidRDefault="00AC3BE6" w:rsidP="009314BA"/>
    <w:sectPr w:rsidR="00AC3BE6" w:rsidSect="00A3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4252"/>
    <w:multiLevelType w:val="hybridMultilevel"/>
    <w:tmpl w:val="59C090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53A"/>
    <w:rsid w:val="00035F60"/>
    <w:rsid w:val="000E3392"/>
    <w:rsid w:val="001034AE"/>
    <w:rsid w:val="00161A45"/>
    <w:rsid w:val="00304336"/>
    <w:rsid w:val="003D0AA1"/>
    <w:rsid w:val="00516FBB"/>
    <w:rsid w:val="0052412C"/>
    <w:rsid w:val="00531E35"/>
    <w:rsid w:val="005A16D0"/>
    <w:rsid w:val="006656F6"/>
    <w:rsid w:val="006812E6"/>
    <w:rsid w:val="00693F0A"/>
    <w:rsid w:val="006A632E"/>
    <w:rsid w:val="006F0975"/>
    <w:rsid w:val="007173BC"/>
    <w:rsid w:val="00782FA8"/>
    <w:rsid w:val="00791024"/>
    <w:rsid w:val="007A63C4"/>
    <w:rsid w:val="007C1C5D"/>
    <w:rsid w:val="007C302E"/>
    <w:rsid w:val="008177B8"/>
    <w:rsid w:val="00883452"/>
    <w:rsid w:val="008B2EAF"/>
    <w:rsid w:val="009314BA"/>
    <w:rsid w:val="0097753A"/>
    <w:rsid w:val="00A02643"/>
    <w:rsid w:val="00A11D87"/>
    <w:rsid w:val="00A379CD"/>
    <w:rsid w:val="00A4377A"/>
    <w:rsid w:val="00A5064C"/>
    <w:rsid w:val="00A94AA3"/>
    <w:rsid w:val="00AC3BE6"/>
    <w:rsid w:val="00C37C67"/>
    <w:rsid w:val="00F53E33"/>
    <w:rsid w:val="00FB74CF"/>
    <w:rsid w:val="00FD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24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91024"/>
    <w:pPr>
      <w:jc w:val="center"/>
    </w:pPr>
    <w:rPr>
      <w:b/>
      <w:bCs/>
      <w:lang w:val="uk-UA"/>
    </w:rPr>
  </w:style>
  <w:style w:type="paragraph" w:styleId="a4">
    <w:name w:val="List Paragraph"/>
    <w:basedOn w:val="a"/>
    <w:uiPriority w:val="34"/>
    <w:qFormat/>
    <w:rsid w:val="00791024"/>
    <w:pPr>
      <w:ind w:left="720"/>
      <w:contextualSpacing/>
    </w:pPr>
  </w:style>
  <w:style w:type="character" w:customStyle="1" w:styleId="apple-style-span">
    <w:name w:val="apple-style-span"/>
    <w:basedOn w:val="a0"/>
    <w:rsid w:val="0097753A"/>
  </w:style>
  <w:style w:type="character" w:styleId="a5">
    <w:name w:val="Hyperlink"/>
    <w:basedOn w:val="a0"/>
    <w:uiPriority w:val="99"/>
    <w:unhideWhenUsed/>
    <w:rsid w:val="009775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53A"/>
  </w:style>
  <w:style w:type="paragraph" w:styleId="a6">
    <w:name w:val="Balloon Text"/>
    <w:basedOn w:val="a"/>
    <w:link w:val="a7"/>
    <w:uiPriority w:val="99"/>
    <w:semiHidden/>
    <w:unhideWhenUsed/>
    <w:rsid w:val="009775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5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vranrada.odess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4463</Words>
  <Characters>2544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17</cp:revision>
  <cp:lastPrinted>2021-05-13T07:13:00Z</cp:lastPrinted>
  <dcterms:created xsi:type="dcterms:W3CDTF">2013-07-11T11:06:00Z</dcterms:created>
  <dcterms:modified xsi:type="dcterms:W3CDTF">2021-05-13T07:15:00Z</dcterms:modified>
</cp:coreProperties>
</file>